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2DD9F3FC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5284">
        <w:rPr>
          <w:rFonts w:ascii="Verdana" w:hAnsi="Verdana" w:cstheme="minorHAnsi"/>
          <w:b/>
          <w:sz w:val="32"/>
          <w:szCs w:val="28"/>
          <w:u w:val="single"/>
        </w:rPr>
        <w:t>3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5284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2B43C8FB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5ED7EA0E" w:rsidRDefault="00DF3A0B" w14:paraId="4BC29966" w14:textId="39AC5D5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5ED7EA0E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5ED7EA0E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5ED7EA0E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5ED7EA0E" w:rsidR="00FE178C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How do festivals and worship </w:t>
            </w:r>
            <w:r w:rsidRPr="5ED7EA0E" w:rsidR="009B6BF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show what matters </w:t>
            </w:r>
            <w:r w:rsidRPr="5ED7EA0E" w:rsidR="009B6BF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to  a</w:t>
            </w:r>
            <w:r w:rsidRPr="5ED7EA0E" w:rsidR="009B6BF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Muslim?</w:t>
            </w:r>
          </w:p>
        </w:tc>
      </w:tr>
      <w:tr w:rsidRPr="009C57E3" w:rsidR="005E4F7B" w:rsidTr="2B43C8FB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5ED7EA0E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5ED7EA0E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5ED7EA0E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ED7EA0E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5ED7EA0E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ED7EA0E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2B43C8FB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1F5D97" w:rsidP="5ED7EA0E" w:rsidRDefault="006A7E5A" w14:paraId="7D3C78FA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6A7E5A">
              <w:rPr>
                <w:rFonts w:ascii="Verdana" w:hAnsi="Verdana" w:eastAsia="Verdana" w:cs="Verdana"/>
                <w:sz w:val="22"/>
                <w:szCs w:val="22"/>
              </w:rPr>
              <w:t>To make sense of belief</w:t>
            </w:r>
          </w:p>
          <w:p w:rsidR="006A7E5A" w:rsidP="5ED7EA0E" w:rsidRDefault="00A4286B" w14:paraId="2338F1CB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A4286B">
              <w:rPr>
                <w:rFonts w:ascii="Verdana" w:hAnsi="Verdana" w:eastAsia="Verdana" w:cs="Verdana"/>
                <w:sz w:val="22"/>
                <w:szCs w:val="22"/>
              </w:rPr>
              <w:t>Identify</w:t>
            </w:r>
            <w:r w:rsidRPr="5ED7EA0E" w:rsidR="00A4286B">
              <w:rPr>
                <w:rFonts w:ascii="Verdana" w:hAnsi="Verdana" w:eastAsia="Verdana" w:cs="Verdana"/>
                <w:sz w:val="22"/>
                <w:szCs w:val="22"/>
              </w:rPr>
              <w:t xml:space="preserve"> some beliefs about God in Islam</w:t>
            </w:r>
            <w:r w:rsidRPr="5ED7EA0E" w:rsidR="00F945A3">
              <w:rPr>
                <w:rFonts w:ascii="Verdana" w:hAnsi="Verdana" w:eastAsia="Verdana" w:cs="Verdana"/>
                <w:sz w:val="22"/>
                <w:szCs w:val="22"/>
              </w:rPr>
              <w:t>, expressed in Surah 1</w:t>
            </w:r>
          </w:p>
          <w:p w:rsidR="00F945A3" w:rsidP="5ED7EA0E" w:rsidRDefault="00F945A3" w14:paraId="14D28DA6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F945A3">
              <w:rPr>
                <w:rFonts w:ascii="Verdana" w:hAnsi="Verdana" w:eastAsia="Verdana" w:cs="Verdana"/>
                <w:sz w:val="22"/>
                <w:szCs w:val="22"/>
              </w:rPr>
              <w:t xml:space="preserve">Make clear links between </w:t>
            </w:r>
            <w:r w:rsidRPr="5ED7EA0E" w:rsidR="008B64C9">
              <w:rPr>
                <w:rFonts w:ascii="Verdana" w:hAnsi="Verdana" w:eastAsia="Verdana" w:cs="Verdana"/>
                <w:sz w:val="22"/>
                <w:szCs w:val="22"/>
              </w:rPr>
              <w:t>beliefs about God and Ibadah</w:t>
            </w:r>
          </w:p>
          <w:p w:rsidR="008B64C9" w:rsidP="5ED7EA0E" w:rsidRDefault="008B64C9" w14:paraId="117DEF3D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8B64C9">
              <w:rPr>
                <w:rFonts w:ascii="Verdana" w:hAnsi="Verdana" w:eastAsia="Verdana" w:cs="Verdana"/>
                <w:sz w:val="22"/>
                <w:szCs w:val="22"/>
              </w:rPr>
              <w:t>Understan</w:t>
            </w:r>
            <w:r w:rsidRPr="5ED7EA0E" w:rsidR="00C71D73">
              <w:rPr>
                <w:rFonts w:ascii="Verdana" w:hAnsi="Verdana" w:eastAsia="Verdana" w:cs="Verdana"/>
                <w:sz w:val="22"/>
                <w:szCs w:val="22"/>
              </w:rPr>
              <w:t>d the impact:</w:t>
            </w:r>
          </w:p>
          <w:p w:rsidR="00C71D73" w:rsidP="5ED7EA0E" w:rsidRDefault="00C71D73" w14:paraId="3307E9E2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C71D73">
              <w:rPr>
                <w:rFonts w:ascii="Verdana" w:hAnsi="Verdana" w:eastAsia="Verdana" w:cs="Verdana"/>
                <w:sz w:val="22"/>
                <w:szCs w:val="22"/>
              </w:rPr>
              <w:t>Give examples of ibadah (worship) in Islam</w:t>
            </w:r>
            <w:r w:rsidRPr="5ED7EA0E" w:rsidR="00851284">
              <w:rPr>
                <w:rFonts w:ascii="Verdana" w:hAnsi="Verdana" w:eastAsia="Verdana" w:cs="Verdana"/>
                <w:sz w:val="22"/>
                <w:szCs w:val="22"/>
              </w:rPr>
              <w:t xml:space="preserve"> and describe what they involve.</w:t>
            </w:r>
          </w:p>
          <w:p w:rsidR="00851284" w:rsidP="5ED7EA0E" w:rsidRDefault="00851284" w14:paraId="769893C6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851284">
              <w:rPr>
                <w:rFonts w:ascii="Verdana" w:hAnsi="Verdana" w:eastAsia="Verdana" w:cs="Verdana"/>
                <w:sz w:val="22"/>
                <w:szCs w:val="22"/>
              </w:rPr>
              <w:t>Make links between Muslim belief</w:t>
            </w:r>
            <w:r w:rsidRPr="5ED7EA0E" w:rsidR="00F978DC">
              <w:rPr>
                <w:rFonts w:ascii="Verdana" w:hAnsi="Verdana" w:eastAsia="Verdana" w:cs="Verdana"/>
                <w:sz w:val="22"/>
                <w:szCs w:val="22"/>
              </w:rPr>
              <w:t>s about God and a range of ways in which Muslims worship</w:t>
            </w:r>
            <w:r w:rsidRPr="5ED7EA0E" w:rsidR="006C4750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="006C4750" w:rsidP="5ED7EA0E" w:rsidRDefault="006C4750" w14:paraId="3D787C2B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6C4750" w:rsidP="5ED7EA0E" w:rsidRDefault="006C4750" w14:paraId="3F26716C" w14:textId="686564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6C4750">
              <w:rPr>
                <w:rFonts w:ascii="Verdana" w:hAnsi="Verdana" w:eastAsia="Verdana" w:cs="Verdana"/>
                <w:sz w:val="22"/>
                <w:szCs w:val="22"/>
              </w:rPr>
              <w:t>Make connections.</w:t>
            </w:r>
          </w:p>
          <w:p w:rsidR="006C4750" w:rsidP="5ED7EA0E" w:rsidRDefault="006C4750" w14:paraId="1D36DBC1" w14:textId="1A27642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6C4750">
              <w:rPr>
                <w:rFonts w:ascii="Verdana" w:hAnsi="Verdana" w:eastAsia="Verdana" w:cs="Verdana"/>
                <w:sz w:val="22"/>
                <w:szCs w:val="22"/>
              </w:rPr>
              <w:t>Raise questions and suggest answers about the value of submission and self-control to Muslims, and whether the benefits for people who Muslims are not.</w:t>
            </w:r>
          </w:p>
          <w:p w:rsidR="006C4750" w:rsidP="5ED7EA0E" w:rsidRDefault="006C4750" w14:paraId="709D351C" w14:textId="6C595D6A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6C4750">
              <w:rPr>
                <w:rFonts w:ascii="Verdana" w:hAnsi="Verdana" w:eastAsia="Verdana" w:cs="Verdana"/>
                <w:sz w:val="22"/>
                <w:szCs w:val="22"/>
              </w:rPr>
              <w:t xml:space="preserve">Make links between the Muslim idea of living in harmony with the creator and the need for all people to </w:t>
            </w:r>
            <w:r w:rsidRPr="5ED7EA0E" w:rsidR="006C4750">
              <w:rPr>
                <w:rFonts w:ascii="Verdana" w:hAnsi="Verdana" w:eastAsia="Verdana" w:cs="Verdana"/>
                <w:sz w:val="22"/>
                <w:szCs w:val="22"/>
              </w:rPr>
              <w:t>love</w:t>
            </w:r>
            <w:r w:rsidRPr="5ED7EA0E" w:rsidR="006C4750">
              <w:rPr>
                <w:rFonts w:ascii="Verdana" w:hAnsi="Verdana" w:eastAsia="Verdana" w:cs="Verdana"/>
                <w:sz w:val="22"/>
                <w:szCs w:val="22"/>
              </w:rPr>
              <w:t xml:space="preserve"> in harmony with each other in the world today, giving good reasons for their ideas.</w:t>
            </w:r>
          </w:p>
          <w:p w:rsidR="006C4750" w:rsidP="5ED7EA0E" w:rsidRDefault="006C4750" w14:paraId="7C49A0C4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6C4750" w:rsidP="5ED7EA0E" w:rsidRDefault="006C4750" w14:paraId="11E8E8CB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Pr="00F17B69" w:rsidR="006C4750" w:rsidP="5ED7EA0E" w:rsidRDefault="006C4750" w14:paraId="528D505A" w14:textId="46D8804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5ED7EA0E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ED7EA0E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5ED7EA0E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5ED7EA0E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ED7EA0E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5ED7EA0E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Pr="00D20D35" w:rsidR="00D35374" w:rsidP="5ED7EA0E" w:rsidRDefault="00CC0137" w14:paraId="00A866BD" w14:textId="5089569A" w14:noSpellErr="1">
            <w:pPr>
              <w:spacing w:before="60"/>
              <w:rPr>
                <w:rFonts w:ascii="Verdana" w:hAnsi="Verdana" w:eastAsia="Verdana" w:cs="Verdana"/>
              </w:rPr>
            </w:pPr>
            <w:r w:rsidRPr="5ED7EA0E" w:rsidR="00CC0137">
              <w:rPr>
                <w:rFonts w:ascii="Verdana" w:hAnsi="Verdana" w:eastAsia="Verdana" w:cs="Verdana"/>
              </w:rPr>
              <w:t>Spoken language- explanations, discussion, and questioning</w:t>
            </w:r>
          </w:p>
        </w:tc>
      </w:tr>
      <w:tr w:rsidRPr="009C57E3" w:rsidR="000B7368" w:rsidTr="2B43C8FB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5ED7EA0E" w:rsidRDefault="00596E3E" w14:paraId="0BC9FECF" w14:textId="18DE3C3D" w14:noSpellErr="1">
            <w:pPr>
              <w:jc w:val="center"/>
              <w:rPr>
                <w:rFonts w:ascii="Verdana" w:hAnsi="Verdana" w:eastAsia="Verdana" w:cs="Verdana"/>
              </w:rPr>
            </w:pPr>
            <w:r w:rsidRPr="5ED7EA0E" w:rsidR="00596E3E">
              <w:rPr>
                <w:rFonts w:ascii="Verdana" w:hAnsi="Verdana" w:eastAsia="Verdana" w:cs="Verdana"/>
              </w:rPr>
              <w:t>Muslim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ED7EA0E" w:rsidRDefault="00596E3E" w14:paraId="5F40FFA6" w14:textId="303340A0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 xml:space="preserve">One who willingly </w:t>
            </w: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>submits</w:t>
            </w: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 xml:space="preserve"> to </w:t>
            </w: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>god</w:t>
            </w: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ED7EA0E" w:rsidRDefault="008A2722" w14:paraId="5B9C79D5" w14:textId="3C171D97">
            <w:pPr>
              <w:jc w:val="center"/>
              <w:rPr>
                <w:rFonts w:ascii="Verdana" w:hAnsi="Verdana" w:eastAsia="Verdana" w:cs="Verdana"/>
              </w:rPr>
            </w:pPr>
            <w:r w:rsidRPr="5ED7EA0E" w:rsidR="008A2722">
              <w:rPr>
                <w:rFonts w:ascii="Verdana" w:hAnsi="Verdana" w:eastAsia="Verdana" w:cs="Verdana"/>
              </w:rPr>
              <w:t>Rak’ah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5ED7EA0E" w:rsidRDefault="008A2722" w14:paraId="1CFAB892" w14:textId="0E7A8AC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8A2722">
              <w:rPr>
                <w:rFonts w:ascii="Verdana" w:hAnsi="Verdana" w:eastAsia="Verdana" w:cs="Verdana"/>
                <w:sz w:val="20"/>
                <w:szCs w:val="20"/>
              </w:rPr>
              <w:t>Prayer positions/ movements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2B43C8FB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5ED7EA0E" w:rsidRDefault="00596E3E" w14:paraId="3B205C4D" w14:textId="77ACB6B6" w14:noSpellErr="1">
            <w:pPr>
              <w:jc w:val="center"/>
              <w:rPr>
                <w:rFonts w:ascii="Verdana" w:hAnsi="Verdana" w:eastAsia="Verdana" w:cs="Verdana"/>
              </w:rPr>
            </w:pPr>
            <w:r w:rsidRPr="5ED7EA0E" w:rsidR="00596E3E">
              <w:rPr>
                <w:rFonts w:ascii="Verdana" w:hAnsi="Verdana" w:eastAsia="Verdana" w:cs="Verdana"/>
              </w:rPr>
              <w:t>Shahada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ED7EA0E" w:rsidRDefault="00596E3E" w14:paraId="6381BAE8" w14:textId="15E7D60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 xml:space="preserve">The belief that there is no god but God and Muhammad </w:t>
            </w: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>is</w:t>
            </w: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 xml:space="preserve"> the Messenger of God.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ED7EA0E" w:rsidRDefault="00A8045D" w14:paraId="02EC3452" w14:textId="42DCE05D" w14:noSpellErr="1">
            <w:pPr>
              <w:jc w:val="center"/>
              <w:rPr>
                <w:rFonts w:ascii="Verdana" w:hAnsi="Verdana" w:eastAsia="Verdana" w:cs="Verdana"/>
              </w:rPr>
            </w:pPr>
            <w:r w:rsidRPr="5ED7EA0E" w:rsidR="00A8045D">
              <w:rPr>
                <w:rFonts w:ascii="Verdana" w:hAnsi="Verdana" w:eastAsia="Verdana" w:cs="Verdana"/>
              </w:rPr>
              <w:t>Mosque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5ED7EA0E" w:rsidRDefault="00A8045D" w14:paraId="3A9FDFB1" w14:textId="01539CBD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A8045D">
              <w:rPr>
                <w:rFonts w:ascii="Verdana" w:hAnsi="Verdana" w:eastAsia="Verdana" w:cs="Verdana"/>
                <w:sz w:val="20"/>
                <w:szCs w:val="20"/>
              </w:rPr>
              <w:t>Islamic place of worship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B43C8FB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ED7EA0E" w:rsidRDefault="00596E3E" w14:paraId="2E3CE4E6" w14:textId="2723E2A1" w14:noSpellErr="1">
            <w:pPr>
              <w:jc w:val="center"/>
              <w:rPr>
                <w:rFonts w:ascii="Verdana" w:hAnsi="Verdana" w:eastAsia="Verdana" w:cs="Verdana"/>
              </w:rPr>
            </w:pPr>
            <w:r w:rsidRPr="5ED7EA0E" w:rsidR="00596E3E">
              <w:rPr>
                <w:rFonts w:ascii="Verdana" w:hAnsi="Verdana" w:eastAsia="Verdana" w:cs="Verdana"/>
              </w:rPr>
              <w:t>Salah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ED7EA0E" w:rsidRDefault="00596E3E" w14:paraId="7126223E" w14:textId="4D3AE2A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>Islamic prayer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ED7EA0E" w:rsidRDefault="00B46858" w14:paraId="5EFCAACB" w14:textId="3A037723" w14:noSpellErr="1">
            <w:pPr>
              <w:jc w:val="center"/>
              <w:rPr>
                <w:rFonts w:ascii="Verdana" w:hAnsi="Verdana" w:eastAsia="Verdana" w:cs="Verdana"/>
              </w:rPr>
            </w:pPr>
            <w:r w:rsidRPr="5ED7EA0E" w:rsidR="00B46858">
              <w:rPr>
                <w:rFonts w:ascii="Verdana" w:hAnsi="Verdana" w:eastAsia="Verdana" w:cs="Verdana"/>
              </w:rPr>
              <w:t>Ramadan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ED7EA0E" w:rsidRDefault="00B46858" w14:paraId="1E311AC5" w14:textId="2110E9D6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B46858">
              <w:rPr>
                <w:rFonts w:ascii="Verdana" w:hAnsi="Verdana" w:eastAsia="Verdana" w:cs="Verdana"/>
                <w:sz w:val="20"/>
                <w:szCs w:val="20"/>
              </w:rPr>
              <w:t>A period of fasting and spiritual growth.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B43C8FB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ED7EA0E" w:rsidRDefault="00596E3E" w14:paraId="6F00389E" w14:textId="7CBCAAA7" w14:noSpellErr="1">
            <w:pPr>
              <w:jc w:val="center"/>
              <w:rPr>
                <w:rFonts w:ascii="Verdana" w:hAnsi="Verdana" w:eastAsia="Verdana" w:cs="Verdana"/>
              </w:rPr>
            </w:pPr>
            <w:r w:rsidRPr="5ED7EA0E" w:rsidR="00596E3E">
              <w:rPr>
                <w:rFonts w:ascii="Verdana" w:hAnsi="Verdana" w:eastAsia="Verdana" w:cs="Verdana"/>
              </w:rPr>
              <w:t>Five Pillars of Islam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ED7EA0E" w:rsidRDefault="00596E3E" w14:paraId="76890AEB" w14:textId="63B34AEB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596E3E">
              <w:rPr>
                <w:rFonts w:ascii="Verdana" w:hAnsi="Verdana" w:eastAsia="Verdana" w:cs="Verdana"/>
                <w:sz w:val="20"/>
                <w:szCs w:val="20"/>
              </w:rPr>
              <w:t>The core beliefs and practices of Islam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ED7EA0E" w:rsidRDefault="0058217B" w14:paraId="0274CD97" w14:textId="0B1981B8">
            <w:pPr>
              <w:jc w:val="center"/>
              <w:rPr>
                <w:rFonts w:ascii="Verdana" w:hAnsi="Verdana" w:eastAsia="Verdana" w:cs="Verdana"/>
              </w:rPr>
            </w:pPr>
            <w:r w:rsidRPr="5ED7EA0E" w:rsidR="0058217B">
              <w:rPr>
                <w:rFonts w:ascii="Verdana" w:hAnsi="Verdana" w:eastAsia="Verdana" w:cs="Verdana"/>
              </w:rPr>
              <w:t>Eid-</w:t>
            </w:r>
            <w:r w:rsidRPr="5ED7EA0E" w:rsidR="0058217B">
              <w:rPr>
                <w:rFonts w:ascii="Verdana" w:hAnsi="Verdana" w:eastAsia="Verdana" w:cs="Verdana"/>
              </w:rPr>
              <w:t>ul</w:t>
            </w:r>
            <w:r w:rsidRPr="5ED7EA0E" w:rsidR="0058217B">
              <w:rPr>
                <w:rFonts w:ascii="Verdana" w:hAnsi="Verdana" w:eastAsia="Verdana" w:cs="Verdana"/>
              </w:rPr>
              <w:t xml:space="preserve"> -Fitr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ED7EA0E" w:rsidRDefault="0058217B" w14:paraId="55FFC2D7" w14:textId="3A43BB1D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58217B">
              <w:rPr>
                <w:rFonts w:ascii="Verdana" w:hAnsi="Verdana" w:eastAsia="Verdana" w:cs="Verdana"/>
                <w:sz w:val="20"/>
                <w:szCs w:val="20"/>
              </w:rPr>
              <w:t>The celebration at the end of Ramadan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B43C8FB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ED7EA0E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ED7EA0E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ED7EA0E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ED7EA0E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B43C8FB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5ED7EA0E" w:rsidRDefault="00856CEA" w14:paraId="1CE34175" w14:textId="56A96DB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ED7EA0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5ED7EA0E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5ED7EA0E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</w:t>
            </w:r>
            <w:r w:rsidRPr="5ED7EA0E" w:rsidR="006C4750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 xml:space="preserve"> for people who are not </w:t>
            </w:r>
            <w:r w:rsidRPr="5ED7EA0E" w:rsidR="00596E3E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 xml:space="preserve">Muslim </w:t>
            </w:r>
            <w:r w:rsidRPr="5ED7EA0E" w:rsidR="00596E3E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specifically</w:t>
            </w:r>
            <w:r w:rsidRPr="5ED7EA0E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 xml:space="preserve">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5ED7EA0E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5ED7EA0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5ED7EA0E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5ED7EA0E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2B43C8FB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5ED7EA0E" w:rsidRDefault="006C4750" w14:paraId="7B8EE3F3" w14:textId="7C568F52">
            <w:pPr>
              <w:rPr>
                <w:rFonts w:ascii="Verdana" w:hAnsi="Verdana" w:eastAsia="Verdana" w:cs="Verdana"/>
              </w:rPr>
            </w:pPr>
            <w:r w:rsidRPr="2B43C8FB" w:rsidR="006C4750">
              <w:rPr>
                <w:rFonts w:ascii="Verdana" w:hAnsi="Verdana" w:eastAsia="Verdana" w:cs="Verdana"/>
              </w:rPr>
              <w:t>Understanding of who a Muslim is and how they live. Key Muslim beliefs.</w:t>
            </w:r>
            <w:r w:rsidRPr="2B43C8FB" w:rsidR="56ACA974">
              <w:rPr>
                <w:rFonts w:ascii="Verdana" w:hAnsi="Verdana" w:eastAsia="Verdana" w:cs="Verdana"/>
              </w:rPr>
              <w:t xml:space="preserve"> Year 2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5ED7EA0E" w:rsidRDefault="006C4750" w14:paraId="33CBDA4A" w14:textId="2109AF25" w14:noSpellErr="1">
            <w:pPr>
              <w:rPr>
                <w:rFonts w:ascii="Verdana" w:hAnsi="Verdana" w:eastAsia="Verdana" w:cs="Verdana"/>
              </w:rPr>
            </w:pPr>
            <w:r w:rsidRPr="5ED7EA0E" w:rsidR="006C4750">
              <w:rPr>
                <w:rFonts w:ascii="Verdana" w:hAnsi="Verdana" w:eastAsia="Verdana" w:cs="Verdana"/>
              </w:rPr>
              <w:t xml:space="preserve">What does it mean to be a Muslim </w:t>
            </w:r>
            <w:r w:rsidRPr="5ED7EA0E" w:rsidR="00596E3E">
              <w:rPr>
                <w:rFonts w:ascii="Verdana" w:hAnsi="Verdana" w:eastAsia="Verdana" w:cs="Verdana"/>
              </w:rPr>
              <w:t>in Britain today?</w:t>
            </w:r>
          </w:p>
        </w:tc>
      </w:tr>
      <w:tr w:rsidRPr="009C57E3" w:rsidR="00856CEA" w:rsidTr="2B43C8FB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5ED7EA0E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ED7EA0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5ED7EA0E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5ED7EA0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5ED7EA0E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ED7EA0E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2B43C8FB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ED7EA0E" w:rsidRDefault="00596E3E" w14:paraId="716196FA" w14:textId="0487C5F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596E3E">
              <w:rPr>
                <w:rFonts w:ascii="Verdana" w:hAnsi="Verdana" w:eastAsia="Verdana" w:cs="Verdana"/>
                <w:sz w:val="22"/>
                <w:szCs w:val="22"/>
              </w:rPr>
              <w:t>To recap prior learning from Year 2 on the five pillars of Islam - Shahada and Salah.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ED7EA0E" w:rsidRDefault="00596E3E" w14:paraId="12481DDB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596E3E">
              <w:rPr>
                <w:rFonts w:ascii="Verdana" w:hAnsi="Verdana" w:eastAsia="Verdana" w:cs="Verdana"/>
                <w:sz w:val="22"/>
                <w:szCs w:val="22"/>
              </w:rPr>
              <w:t xml:space="preserve">Shahada is the belief there is only </w:t>
            </w: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>one God Allah,</w:t>
            </w:r>
          </w:p>
          <w:p w:rsidRPr="00197634" w:rsidR="008A2722" w:rsidP="5ED7EA0E" w:rsidRDefault="008A2722" w14:paraId="34F7EBBA" w14:textId="32FB45C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>Muslims pray 5 times a day (Salah)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ED7EA0E" w:rsidRDefault="008A2722" w14:paraId="261AFB57" w14:textId="04AD0B0E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5ED7EA0E" w:rsidR="008A2722">
              <w:rPr>
                <w:rFonts w:ascii="Verdana" w:hAnsi="Verdana" w:eastAsia="Verdana" w:cs="Verdana"/>
              </w:rPr>
              <w:t>Investigative, recall skills</w:t>
            </w:r>
          </w:p>
        </w:tc>
      </w:tr>
      <w:tr w:rsidRPr="009C57E3" w:rsidR="00856CEA" w:rsidTr="2B43C8FB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ED7EA0E" w:rsidRDefault="008A2722" w14:paraId="73BC86DD" w14:textId="1FA62E2C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>To read Surah 1 of the Qur’an.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ED7EA0E" w:rsidRDefault="008A2722" w14:paraId="54BBC94B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>Surah 1 is the first chapter of the Qur’an.</w:t>
            </w:r>
          </w:p>
          <w:p w:rsidRPr="00197634" w:rsidR="008A2722" w:rsidP="5ED7EA0E" w:rsidRDefault="008A2722" w14:paraId="228EBA6F" w14:textId="79F67B09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>The verses are a prayer for God’s guidance., it is recited at the start of each prayer.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ED7EA0E" w:rsidRDefault="008A2722" w14:paraId="5892E866" w14:textId="177CA13A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5ED7EA0E" w:rsidR="008A2722">
              <w:rPr>
                <w:rFonts w:ascii="Verdana" w:hAnsi="Verdana" w:eastAsia="Verdana" w:cs="Verdana"/>
              </w:rPr>
              <w:t>Investigative, interpretive skills</w:t>
            </w:r>
          </w:p>
        </w:tc>
      </w:tr>
      <w:tr w:rsidRPr="009C57E3" w:rsidR="00856CEA" w:rsidTr="2B43C8FB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ED7EA0E" w:rsidRDefault="008A2722" w14:paraId="27826EF6" w14:textId="5FB94A9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 xml:space="preserve">To recall what happens in prayer and </w:t>
            </w: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>rak’ah</w:t>
            </w: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 xml:space="preserve"> and reflect why it is important for Muslims to pray.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ED7EA0E" w:rsidRDefault="008A2722" w14:paraId="60703880" w14:textId="677AF69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>Rak’ah</w:t>
            </w: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5ED7EA0E" w:rsidR="00A8045D">
              <w:rPr>
                <w:rFonts w:ascii="Verdana" w:hAnsi="Verdana" w:eastAsia="Verdana" w:cs="Verdana"/>
                <w:sz w:val="22"/>
                <w:szCs w:val="22"/>
              </w:rPr>
              <w:t>are movements</w:t>
            </w:r>
            <w:r w:rsidRPr="5ED7EA0E" w:rsidR="008A2722">
              <w:rPr>
                <w:rFonts w:ascii="Verdana" w:hAnsi="Verdana" w:eastAsia="Verdana" w:cs="Verdana"/>
                <w:sz w:val="22"/>
                <w:szCs w:val="22"/>
              </w:rPr>
              <w:t xml:space="preserve"> performed by Muslims</w:t>
            </w:r>
            <w:r w:rsidRPr="5ED7EA0E" w:rsidR="00A8045D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Pr="00D35374" w:rsidR="00A8045D" w:rsidP="5ED7EA0E" w:rsidRDefault="00A8045D" w14:paraId="51E78D5C" w14:textId="0AA4457B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A8045D">
              <w:rPr>
                <w:rFonts w:ascii="Verdana" w:hAnsi="Verdana" w:eastAsia="Verdana" w:cs="Verdana"/>
                <w:sz w:val="22"/>
                <w:szCs w:val="22"/>
              </w:rPr>
              <w:t>Prayer is an important part of a Muslims daily life.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5ED7EA0E" w:rsidRDefault="00A8045D" w14:paraId="3B26F2E4" w14:textId="1F1FC948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5ED7EA0E" w:rsidR="00A8045D">
              <w:rPr>
                <w:rFonts w:ascii="Verdana" w:hAnsi="Verdana" w:eastAsia="Verdana" w:cs="Verdana"/>
                <w:sz w:val="20"/>
                <w:szCs w:val="20"/>
              </w:rPr>
              <w:t>Investigative, empathising skills</w:t>
            </w:r>
          </w:p>
        </w:tc>
      </w:tr>
      <w:tr w:rsidRPr="009C57E3" w:rsidR="00856CEA" w:rsidTr="2B43C8FB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ED7EA0E" w:rsidRDefault="00A8045D" w14:paraId="5CF0D4A8" w14:textId="60A6AAAF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A8045D">
              <w:rPr>
                <w:rFonts w:ascii="Verdana" w:hAnsi="Verdana" w:eastAsia="Verdana" w:cs="Verdana"/>
                <w:sz w:val="22"/>
                <w:szCs w:val="22"/>
              </w:rPr>
              <w:t>To know mosques are important within Muslim communities.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5ED7EA0E" w:rsidRDefault="00A8045D" w14:paraId="1E1B1B0F" w14:textId="03772CAF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A8045D">
              <w:rPr>
                <w:rFonts w:ascii="Verdana" w:hAnsi="Verdana" w:eastAsia="Verdana" w:cs="Verdana"/>
                <w:sz w:val="22"/>
                <w:szCs w:val="22"/>
              </w:rPr>
              <w:t xml:space="preserve">A mosque is a place for prayer, </w:t>
            </w:r>
            <w:r w:rsidRPr="5ED7EA0E" w:rsidR="00CC0137">
              <w:rPr>
                <w:rFonts w:ascii="Verdana" w:hAnsi="Verdana" w:eastAsia="Verdana" w:cs="Verdana"/>
                <w:sz w:val="22"/>
                <w:szCs w:val="22"/>
              </w:rPr>
              <w:t>teaching,</w:t>
            </w:r>
            <w:r w:rsidRPr="5ED7EA0E" w:rsidR="00A8045D">
              <w:rPr>
                <w:rFonts w:ascii="Verdana" w:hAnsi="Verdana" w:eastAsia="Verdana" w:cs="Verdana"/>
                <w:sz w:val="22"/>
                <w:szCs w:val="22"/>
              </w:rPr>
              <w:t xml:space="preserve"> and community support.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ED7EA0E" w:rsidRDefault="00B46858" w14:paraId="10E9C2C1" w14:textId="10D87B0E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B46858">
              <w:rPr>
                <w:rFonts w:ascii="Verdana" w:hAnsi="Verdana" w:eastAsia="Verdana" w:cs="Verdana"/>
                <w:sz w:val="22"/>
                <w:szCs w:val="22"/>
              </w:rPr>
              <w:t>Investigative, empathising</w:t>
            </w:r>
            <w:r w:rsidRPr="5ED7EA0E" w:rsidR="00A8045D">
              <w:rPr>
                <w:rFonts w:ascii="Verdana" w:hAnsi="Verdana" w:eastAsia="Verdana" w:cs="Verdana"/>
                <w:sz w:val="22"/>
                <w:szCs w:val="22"/>
              </w:rPr>
              <w:t xml:space="preserve"> skills</w:t>
            </w:r>
          </w:p>
        </w:tc>
      </w:tr>
      <w:tr w:rsidRPr="009C57E3" w:rsidR="00856CEA" w:rsidTr="2B43C8FB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ED7EA0E" w:rsidRDefault="00B46858" w14:paraId="1F105660" w14:textId="6BEAD51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B46858">
              <w:rPr>
                <w:rFonts w:ascii="Verdana" w:hAnsi="Verdana" w:eastAsia="Verdana" w:cs="Verdana"/>
                <w:sz w:val="22"/>
                <w:szCs w:val="22"/>
              </w:rPr>
              <w:t xml:space="preserve">To explore how Muslims show self- control by fasting during </w:t>
            </w:r>
            <w:r w:rsidRPr="5ED7EA0E" w:rsidR="00B46858">
              <w:rPr>
                <w:rFonts w:ascii="Verdana" w:hAnsi="Verdana" w:eastAsia="Verdana" w:cs="Verdana"/>
                <w:sz w:val="22"/>
                <w:szCs w:val="22"/>
              </w:rPr>
              <w:t>Ramamdan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ED7EA0E" w:rsidRDefault="00B46858" w14:paraId="421B893B" w14:textId="77777777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B46858">
              <w:rPr>
                <w:rFonts w:ascii="Verdana" w:hAnsi="Verdana" w:eastAsia="Verdana" w:cs="Verdana"/>
                <w:sz w:val="22"/>
                <w:szCs w:val="22"/>
              </w:rPr>
              <w:t>One of the five pillars is fasting during Ramadan.</w:t>
            </w:r>
          </w:p>
          <w:p w:rsidRPr="00B46858" w:rsidR="00B46858" w:rsidP="5ED7EA0E" w:rsidRDefault="00B46858" w14:paraId="1A9A436D" w14:textId="0A1F9554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B46858">
              <w:rPr>
                <w:rFonts w:ascii="Verdana" w:hAnsi="Verdana" w:eastAsia="Verdana" w:cs="Verdana"/>
                <w:sz w:val="22"/>
                <w:szCs w:val="22"/>
              </w:rPr>
              <w:t>Muslims celebrate Eid-</w:t>
            </w:r>
            <w:r w:rsidRPr="5ED7EA0E" w:rsidR="00B46858">
              <w:rPr>
                <w:rFonts w:ascii="Verdana" w:hAnsi="Verdana" w:eastAsia="Verdana" w:cs="Verdana"/>
                <w:sz w:val="22"/>
                <w:szCs w:val="22"/>
              </w:rPr>
              <w:t>ul</w:t>
            </w:r>
            <w:r w:rsidRPr="5ED7EA0E" w:rsidR="00B46858">
              <w:rPr>
                <w:rFonts w:ascii="Verdana" w:hAnsi="Verdana" w:eastAsia="Verdana" w:cs="Verdana"/>
                <w:sz w:val="22"/>
                <w:szCs w:val="22"/>
              </w:rPr>
              <w:t xml:space="preserve">-Fitr at the end of </w:t>
            </w:r>
            <w:r w:rsidRPr="5ED7EA0E" w:rsidR="00CC0137">
              <w:rPr>
                <w:rFonts w:ascii="Verdana" w:hAnsi="Verdana" w:eastAsia="Verdana" w:cs="Verdana"/>
                <w:sz w:val="22"/>
                <w:szCs w:val="22"/>
              </w:rPr>
              <w:t>Ramadan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ED7EA0E" w:rsidRDefault="00B46858" w14:paraId="077EEAF7" w14:textId="5C6D77DB" w14:noSpellErr="1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Verdana" w:hAnsi="Verdana" w:eastAsia="Verdana" w:cs="Verdana"/>
              </w:rPr>
            </w:pPr>
            <w:r w:rsidRPr="5ED7EA0E" w:rsidR="00B46858">
              <w:rPr>
                <w:rFonts w:ascii="Verdana" w:hAnsi="Verdana" w:eastAsia="Verdana" w:cs="Verdana"/>
              </w:rPr>
              <w:t>Interpretive, empathy and reflective skills</w:t>
            </w:r>
          </w:p>
        </w:tc>
      </w:tr>
      <w:tr w:rsidRPr="009C57E3" w:rsidR="005503D1" w:rsidTr="2B43C8FB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5ED7EA0E" w:rsidRDefault="00CC0137" w14:paraId="0051D429" w14:textId="7A8BAC6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CC0137">
              <w:rPr>
                <w:rFonts w:ascii="Verdana" w:hAnsi="Verdana" w:eastAsia="Verdana" w:cs="Verdana"/>
                <w:sz w:val="22"/>
                <w:szCs w:val="22"/>
              </w:rPr>
              <w:t>To reflect on the benefits of living a self- disciplined life? What the class, school, neighbourhood, and country do to live in harmony?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5ED7EA0E" w:rsidRDefault="00CC0137" w14:paraId="5E44D6C0" w14:textId="2AFCDF3E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CC0137">
              <w:rPr>
                <w:rFonts w:ascii="Verdana" w:hAnsi="Verdana" w:eastAsia="Verdana" w:cs="Verdana"/>
                <w:sz w:val="22"/>
                <w:szCs w:val="22"/>
              </w:rPr>
              <w:t>Know ways in which Muslims show self- discipline in their lives e.g., daily prayers, fasting etc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5503D1" w:rsidP="5ED7EA0E" w:rsidRDefault="00CC0137" w14:paraId="2DF49F05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5ED7EA0E" w:rsidR="00CC0137">
              <w:rPr>
                <w:rFonts w:ascii="Verdana" w:hAnsi="Verdana" w:eastAsia="Verdana" w:cs="Verdana"/>
              </w:rPr>
              <w:t>Reflective, synthesizing skills (making links),</w:t>
            </w:r>
          </w:p>
          <w:p w:rsidRPr="00D35374" w:rsidR="00CC0137" w:rsidP="5ED7EA0E" w:rsidRDefault="00CC0137" w14:paraId="11EF63E3" w14:textId="0B0D8F7B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5ED7EA0E" w:rsidR="00CC0137">
              <w:rPr>
                <w:rFonts w:ascii="Verdana" w:hAnsi="Verdana" w:eastAsia="Verdana" w:cs="Verdana"/>
              </w:rPr>
              <w:t>Evaluative skills</w:t>
            </w:r>
          </w:p>
        </w:tc>
      </w:tr>
      <w:tr w:rsidRPr="009C57E3" w:rsidR="00856CEA" w:rsidTr="2B43C8FB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5ED7EA0E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2B43C8FB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5ED7EA0E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5ED7EA0E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5ED7EA0E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5ED7EA0E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5ED7EA0E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ED7EA0E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2B43C8FB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ED7EA0E" w:rsidRDefault="00CC0137" w14:paraId="76745548" w14:textId="31EDBDE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ED7EA0E" w:rsidR="00CC013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sense of beliefs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CC0137" w:rsidR="00CC0137" w:rsidP="5ED7EA0E" w:rsidRDefault="00CC0137" w14:paraId="67F8AB5B" w14:textId="194FDB9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CC0137">
              <w:rPr>
                <w:rFonts w:ascii="Verdana" w:hAnsi="Verdana" w:eastAsia="Verdana" w:cs="Verdana"/>
                <w:sz w:val="22"/>
                <w:szCs w:val="22"/>
              </w:rPr>
              <w:t>Lesson 1, 2 and 3</w:t>
            </w:r>
          </w:p>
        </w:tc>
      </w:tr>
      <w:tr w:rsidRPr="009C57E3" w:rsidR="00856CEA" w:rsidTr="2B43C8FB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ED7EA0E" w:rsidRDefault="00CC0137" w14:paraId="1CDBBFA2" w14:textId="645308F8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ED7EA0E" w:rsidR="00CC013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ED7EA0E" w:rsidRDefault="00CC0137" w14:paraId="355377C7" w14:textId="6ACEE86B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CC0137">
              <w:rPr>
                <w:rFonts w:ascii="Verdana" w:hAnsi="Verdana" w:eastAsia="Verdana" w:cs="Verdana"/>
                <w:sz w:val="22"/>
                <w:szCs w:val="22"/>
              </w:rPr>
              <w:t>Lesson 4 and 5</w:t>
            </w:r>
          </w:p>
        </w:tc>
      </w:tr>
      <w:tr w:rsidRPr="009C57E3" w:rsidR="00856CEA" w:rsidTr="2B43C8FB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ED7EA0E" w:rsidRDefault="00CC0137" w14:paraId="6A2E45D1" w14:textId="284CF366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ED7EA0E" w:rsidR="00CC013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ED7EA0E" w:rsidRDefault="00CC0137" w14:paraId="0C394589" w14:textId="2BF610CB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ED7EA0E" w:rsidR="00CC0137">
              <w:rPr>
                <w:rFonts w:ascii="Verdana" w:hAnsi="Verdana" w:eastAsia="Verdana" w:cs="Verdana"/>
                <w:sz w:val="22"/>
                <w:szCs w:val="22"/>
              </w:rPr>
              <w:t>Lesson 6</w:t>
            </w:r>
          </w:p>
        </w:tc>
      </w:tr>
    </w:tbl>
    <w:p w:rsidR="5ED7EA0E" w:rsidRDefault="5ED7EA0E" w14:paraId="2BCB01D5" w14:textId="6D727E72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355" w:rsidP="006312C2" w:rsidRDefault="009D4355" w14:paraId="01BCF48E" w14:textId="77777777">
      <w:r>
        <w:separator/>
      </w:r>
    </w:p>
  </w:endnote>
  <w:endnote w:type="continuationSeparator" w:id="0">
    <w:p w:rsidR="009D4355" w:rsidP="006312C2" w:rsidRDefault="009D4355" w14:paraId="6B3759D6" w14:textId="77777777">
      <w:r>
        <w:continuationSeparator/>
      </w:r>
    </w:p>
  </w:endnote>
  <w:endnote w:type="continuationNotice" w:id="1">
    <w:p w:rsidR="009D4355" w:rsidRDefault="009D4355" w14:paraId="1D8AE04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355" w:rsidP="006312C2" w:rsidRDefault="009D4355" w14:paraId="545F2198" w14:textId="77777777">
      <w:r>
        <w:separator/>
      </w:r>
    </w:p>
  </w:footnote>
  <w:footnote w:type="continuationSeparator" w:id="0">
    <w:p w:rsidR="009D4355" w:rsidP="006312C2" w:rsidRDefault="009D4355" w14:paraId="5DF0E935" w14:textId="77777777">
      <w:r>
        <w:continuationSeparator/>
      </w:r>
    </w:p>
  </w:footnote>
  <w:footnote w:type="continuationNotice" w:id="1">
    <w:p w:rsidR="009D4355" w:rsidRDefault="009D4355" w14:paraId="01D441E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95AECC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16F640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D5284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65D5"/>
    <w:rsid w:val="005662D7"/>
    <w:rsid w:val="0056793C"/>
    <w:rsid w:val="0056797E"/>
    <w:rsid w:val="005700B2"/>
    <w:rsid w:val="005704E7"/>
    <w:rsid w:val="005728FD"/>
    <w:rsid w:val="0058217B"/>
    <w:rsid w:val="00584AE5"/>
    <w:rsid w:val="00590228"/>
    <w:rsid w:val="005907D8"/>
    <w:rsid w:val="00592F60"/>
    <w:rsid w:val="00596E3E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02BAF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76055"/>
    <w:rsid w:val="00692A0F"/>
    <w:rsid w:val="00694330"/>
    <w:rsid w:val="006A29C0"/>
    <w:rsid w:val="006A46E0"/>
    <w:rsid w:val="006A7D22"/>
    <w:rsid w:val="006A7E5A"/>
    <w:rsid w:val="006B2BAD"/>
    <w:rsid w:val="006B7729"/>
    <w:rsid w:val="006C4750"/>
    <w:rsid w:val="006C4993"/>
    <w:rsid w:val="006D05A5"/>
    <w:rsid w:val="006E1C71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1284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2722"/>
    <w:rsid w:val="008A4B57"/>
    <w:rsid w:val="008B64C9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B6BFA"/>
    <w:rsid w:val="009C57E3"/>
    <w:rsid w:val="009D4355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286B"/>
    <w:rsid w:val="00A44E36"/>
    <w:rsid w:val="00A60596"/>
    <w:rsid w:val="00A60A26"/>
    <w:rsid w:val="00A61414"/>
    <w:rsid w:val="00A6677B"/>
    <w:rsid w:val="00A7645D"/>
    <w:rsid w:val="00A80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46858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73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137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1F3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2BB3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5A3"/>
    <w:rsid w:val="00F94FA1"/>
    <w:rsid w:val="00F978DC"/>
    <w:rsid w:val="00FA3147"/>
    <w:rsid w:val="00FB266E"/>
    <w:rsid w:val="00FB3D22"/>
    <w:rsid w:val="00FB3F44"/>
    <w:rsid w:val="00FD7685"/>
    <w:rsid w:val="00FE037A"/>
    <w:rsid w:val="00FE178C"/>
    <w:rsid w:val="00FE73FD"/>
    <w:rsid w:val="1E76CC4B"/>
    <w:rsid w:val="2B43C8FB"/>
    <w:rsid w:val="3CF608A7"/>
    <w:rsid w:val="56ACA974"/>
    <w:rsid w:val="58C803E6"/>
    <w:rsid w:val="59451502"/>
    <w:rsid w:val="5ED7E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9A446AE2-2335-451F-B3EF-2E5F857854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17</revision>
  <lastPrinted>2023-11-13T09:53:00.0000000Z</lastPrinted>
  <dcterms:created xsi:type="dcterms:W3CDTF">2023-11-23T18:20:00.0000000Z</dcterms:created>
  <dcterms:modified xsi:type="dcterms:W3CDTF">2024-04-25T11:08:21.0352477Z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