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50793E05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proofErr w:type="gramStart"/>
      <w:r w:rsidR="00E10922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>R.E</w:t>
      </w:r>
      <w:proofErr w:type="gramEnd"/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425C4B">
        <w:rPr>
          <w:rFonts w:ascii="Verdana" w:hAnsi="Verdana" w:cstheme="minorHAnsi"/>
          <w:b/>
          <w:sz w:val="32"/>
          <w:szCs w:val="28"/>
          <w:u w:val="single"/>
        </w:rPr>
        <w:t>Summer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  <w:r w:rsidR="007F76F6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Pr="009C57E3" w:rsidR="00342307" w:rsidTr="3044A73B" w14:paraId="0383C203" w14:textId="77777777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tcMar/>
            <w:vAlign w:val="center"/>
          </w:tcPr>
          <w:p w:rsidRPr="009C57E3" w:rsidR="00342307" w:rsidP="3044A73B" w:rsidRDefault="00DF3A0B" w14:paraId="4BC29966" w14:textId="01A20FB0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3044A73B" w:rsidR="00DF3A0B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3044A73B" w:rsidR="00D17653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3044A73B" w:rsidR="00D35374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3044A73B" w:rsidR="67A7E65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</w:t>
            </w:r>
            <w:r w:rsidRPr="3044A73B" w:rsidR="00066B6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hat is the ‘good </w:t>
            </w:r>
            <w:r w:rsidRPr="3044A73B" w:rsidR="00066B6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news’</w:t>
            </w:r>
            <w:r w:rsidRPr="3044A73B" w:rsidR="00066B6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Christians believe Jesus brings?</w:t>
            </w:r>
          </w:p>
        </w:tc>
      </w:tr>
      <w:tr w:rsidRPr="009C57E3" w:rsidR="005E4F7B" w:rsidTr="3044A73B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C43A38" w:rsidTr="3044A73B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E10922" w:rsidR="00E10922" w:rsidP="00881F30" w:rsidRDefault="00E10922" w14:paraId="5E1E6E7F" w14:textId="7777777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10922">
              <w:rPr>
                <w:rFonts w:ascii="Comic Sans MS" w:hAnsi="Comic Sans MS"/>
                <w:b/>
                <w:bCs/>
                <w:sz w:val="28"/>
                <w:szCs w:val="28"/>
              </w:rPr>
              <w:t>Make sense of belief:</w:t>
            </w:r>
          </w:p>
          <w:p w:rsidR="00E10922" w:rsidP="00881F30" w:rsidRDefault="00E10922" w14:paraId="0AA1884E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E10922">
              <w:rPr>
                <w:rFonts w:ascii="Comic Sans MS" w:hAnsi="Comic Sans MS"/>
                <w:sz w:val="28"/>
                <w:szCs w:val="28"/>
              </w:rPr>
              <w:t xml:space="preserve"> • Tell stories from the Bible and recognise a link with the concept of ‘Gospel’ or ‘good news’ • Give clear, simple accounts of what Bible texts (such as the story of Matthew the tax collector) mean to </w:t>
            </w:r>
            <w:r w:rsidRPr="00E10922">
              <w:rPr>
                <w:rFonts w:ascii="Comic Sans MS" w:hAnsi="Comic Sans MS"/>
                <w:sz w:val="28"/>
                <w:szCs w:val="28"/>
              </w:rPr>
              <w:t>Christians recognise</w:t>
            </w:r>
            <w:r w:rsidRPr="00E10922">
              <w:rPr>
                <w:rFonts w:ascii="Comic Sans MS" w:hAnsi="Comic Sans MS"/>
                <w:sz w:val="28"/>
                <w:szCs w:val="28"/>
              </w:rPr>
              <w:t xml:space="preserve"> that Jesus gives instructions to people about how to behave</w:t>
            </w:r>
          </w:p>
          <w:p w:rsidRPr="00E10922" w:rsidR="00E10922" w:rsidP="00881F30" w:rsidRDefault="00E10922" w14:paraId="20922022" w14:textId="01C200B3">
            <w:pPr>
              <w:rPr>
                <w:rFonts w:ascii="Comic Sans MS" w:hAnsi="Comic Sans MS"/>
                <w:sz w:val="28"/>
                <w:szCs w:val="28"/>
              </w:rPr>
            </w:pPr>
            <w:r w:rsidRPr="00E10922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E10922">
              <w:rPr>
                <w:rFonts w:ascii="Comic Sans MS" w:hAnsi="Comic Sans MS"/>
                <w:b/>
                <w:bCs/>
                <w:sz w:val="28"/>
                <w:szCs w:val="28"/>
              </w:rPr>
              <w:t>Understand the impact:</w:t>
            </w:r>
            <w:r w:rsidRPr="00E1092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Pr="00E10922" w:rsidR="00E10922" w:rsidP="00881F30" w:rsidRDefault="00E10922" w14:paraId="607B4B04" w14:textId="77777777">
            <w:pPr>
              <w:rPr>
                <w:rFonts w:ascii="Comic Sans MS" w:hAnsi="Comic Sans MS"/>
                <w:sz w:val="28"/>
                <w:szCs w:val="28"/>
              </w:rPr>
            </w:pPr>
            <w:r w:rsidRPr="00E10922">
              <w:rPr>
                <w:rFonts w:ascii="Comic Sans MS" w:hAnsi="Comic Sans MS"/>
                <w:sz w:val="28"/>
                <w:szCs w:val="28"/>
              </w:rPr>
              <w:t xml:space="preserve">• Give at least two examples of ways in which Christians follow the teachings studied about forgiveness and peace, and bringing good news to the friendless • Give at least two examples of how Christians put these beliefs into practice in the Church community and their own lives (for example: charity, confession) </w:t>
            </w:r>
          </w:p>
          <w:p w:rsidRPr="00E10922" w:rsidR="00E10922" w:rsidP="00881F30" w:rsidRDefault="00E10922" w14:paraId="6A3FE8C1" w14:textId="30D1176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E1092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Make connections: </w:t>
            </w:r>
          </w:p>
          <w:p w:rsidRPr="00E10922" w:rsidR="001F5D97" w:rsidP="00881F30" w:rsidRDefault="00E10922" w14:paraId="528D505A" w14:textId="20E77353">
            <w:pPr>
              <w:rPr>
                <w:rFonts w:ascii="Comic Sans MS" w:hAnsi="Comic Sans MS" w:cstheme="minorHAnsi"/>
                <w:sz w:val="28"/>
                <w:szCs w:val="28"/>
              </w:rPr>
            </w:pPr>
            <w:r w:rsidRPr="00E10922">
              <w:rPr>
                <w:rFonts w:ascii="Comic Sans MS" w:hAnsi="Comic Sans MS"/>
                <w:sz w:val="28"/>
                <w:szCs w:val="28"/>
              </w:rPr>
              <w:t xml:space="preserve">• Think, </w:t>
            </w:r>
            <w:proofErr w:type="gramStart"/>
            <w:r w:rsidRPr="00E10922">
              <w:rPr>
                <w:rFonts w:ascii="Comic Sans MS" w:hAnsi="Comic Sans MS"/>
                <w:sz w:val="28"/>
                <w:szCs w:val="28"/>
              </w:rPr>
              <w:t>talk</w:t>
            </w:r>
            <w:proofErr w:type="gramEnd"/>
            <w:r w:rsidRPr="00E10922">
              <w:rPr>
                <w:rFonts w:ascii="Comic Sans MS" w:hAnsi="Comic Sans MS"/>
                <w:sz w:val="28"/>
                <w:szCs w:val="28"/>
              </w:rPr>
              <w:t xml:space="preserve"> and ask questions about whether Jesus’ ‘good news’ is only good news for Christians, or if there are things for anyone to learn about how to live, giving a good reason for their ideas.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0C43A38" w:rsidRDefault="00C43A38" w14:paraId="4F548E2A" w14:textId="183C31E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79DEC44F" w14:textId="58541A1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00C43A38" w:rsidRDefault="00E10922" w14:paraId="05326F78" w14:textId="77777777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Spoken </w:t>
            </w:r>
            <w:proofErr w:type="gramStart"/>
            <w:r>
              <w:rPr>
                <w:rFonts w:ascii="Verdana" w:hAnsi="Verdana" w:cstheme="minorHAnsi"/>
              </w:rPr>
              <w:t>language</w:t>
            </w:r>
            <w:proofErr w:type="gramEnd"/>
            <w:r>
              <w:rPr>
                <w:rFonts w:ascii="Verdana" w:hAnsi="Verdana" w:cstheme="minorHAnsi"/>
              </w:rPr>
              <w:t xml:space="preserve"> </w:t>
            </w:r>
          </w:p>
          <w:p w:rsidRPr="00D20D35" w:rsidR="00E10922" w:rsidP="00C43A38" w:rsidRDefault="00E10922" w14:paraId="00A866BD" w14:textId="3DFB9024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Explaining, discussions, questioning.</w:t>
            </w:r>
          </w:p>
        </w:tc>
      </w:tr>
      <w:tr w:rsidRPr="009C57E3" w:rsidR="000B7368" w:rsidTr="3044A73B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000B7368" w:rsidRDefault="00357E37" w14:paraId="0BC9FECF" w14:textId="425C60B6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Old Testament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357E37" w14:paraId="5F40FFA6" w14:textId="3F296D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first part of the Bible (and Jewish holy text)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0B7368" w14:paraId="5B9C79D5" w14:textId="17FA31B0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0B7368" w14:paraId="1CFAB892" w14:textId="00D21E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3044A73B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357E37" w14:paraId="3B205C4D" w14:textId="07D04855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Disciples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357E37" w14:paraId="6381BAE8" w14:textId="52F7D4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personal follower of Jesus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0B7368" w14:paraId="02EC3452" w14:textId="39F1A99D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0B7368" w14:paraId="3A9FDFB1" w14:textId="2C865E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044A73B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357E37" w14:paraId="2E3CE4E6" w14:textId="3D5C4D61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Gospel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357E37" w14:paraId="7126223E" w14:textId="12D05F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Good news – revelation of Christ.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5EFCAACB" w14:textId="6A219408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1E311AC5" w14:textId="6B45A6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044A73B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6F00389E" w14:textId="19A4616A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856CEA" w14:paraId="76890AEB" w14:textId="6E7F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0274CD97" w14:textId="0592DEEE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55FFC2D7" w14:textId="11E126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044A73B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2D6358DE" w14:textId="06EB71F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856CEA" w14:paraId="5755100B" w14:textId="11807C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F17B69" w:rsidRDefault="00856CEA" w14:paraId="75555633" w14:textId="3B7DDF01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65D8EB6B" w14:textId="43370C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044A73B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1CE34175" w14:textId="63D1D08C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tcMar/>
            <w:vAlign w:val="center"/>
          </w:tcPr>
          <w:p w:rsidRPr="006E2864" w:rsidR="00856CEA" w:rsidP="00856CEA" w:rsidRDefault="00856CEA" w14:paraId="4E83E7F3" w14:textId="36BC080D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3044A73B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3044A73B" w:rsidRDefault="00E10922" w14:paraId="7B8EE3F3" w14:textId="174B16A4">
            <w:pPr>
              <w:rPr>
                <w:rFonts w:ascii="Comic Sans MS" w:hAnsi="Comic Sans MS" w:cs="Calibri" w:cstheme="minorAscii"/>
              </w:rPr>
            </w:pPr>
            <w:r w:rsidRPr="3044A73B" w:rsidR="00E10922">
              <w:rPr>
                <w:rFonts w:ascii="Comic Sans MS" w:hAnsi="Comic Sans MS" w:cs="Calibri" w:cstheme="minorAscii"/>
              </w:rPr>
              <w:t>How should we care for the world and for others, and does it matter?</w:t>
            </w:r>
            <w:r w:rsidRPr="3044A73B" w:rsidR="288958DF">
              <w:rPr>
                <w:rFonts w:ascii="Comic Sans MS" w:hAnsi="Comic Sans MS" w:cs="Calibri" w:cstheme="minorAscii"/>
              </w:rPr>
              <w:t xml:space="preserve"> Year 1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tcMar/>
            <w:vAlign w:val="center"/>
          </w:tcPr>
          <w:p w:rsidRPr="00181433" w:rsidR="00856CEA" w:rsidP="00856CEA" w:rsidRDefault="00E10922" w14:paraId="33CBDA4A" w14:textId="4BA940D5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What kind of world did Jesus want?</w:t>
            </w:r>
          </w:p>
        </w:tc>
      </w:tr>
      <w:tr w:rsidRPr="009C57E3" w:rsidR="00856CEA" w:rsidTr="3044A73B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856CEA" w:rsidP="00856CEA" w:rsidRDefault="00856CEA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856CEA" w:rsidTr="3044A73B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357E37" w:rsidR="00357E37" w:rsidP="00357E37" w:rsidRDefault="00E10922" w14:paraId="716196FA" w14:textId="764ECF6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To reflect on which 12 people they would </w:t>
            </w:r>
            <w:proofErr w:type="gramStart"/>
            <w:r>
              <w:rPr>
                <w:rFonts w:ascii="Comic Sans MS" w:hAnsi="Comic Sans MS" w:cstheme="minorHAnsi"/>
                <w:sz w:val="22"/>
                <w:szCs w:val="22"/>
              </w:rPr>
              <w:t>chose</w:t>
            </w:r>
            <w:proofErr w:type="gram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to help change the world.</w:t>
            </w:r>
            <w:r w:rsidR="00357E37">
              <w:rPr>
                <w:rFonts w:ascii="Comic Sans MS" w:hAnsi="Comic Sans MS" w:cstheme="minorHAnsi"/>
                <w:sz w:val="22"/>
                <w:szCs w:val="22"/>
              </w:rPr>
              <w:t xml:space="preserve"> To know the </w:t>
            </w:r>
            <w:proofErr w:type="gramStart"/>
            <w:r w:rsidR="00357E37">
              <w:rPr>
                <w:rFonts w:ascii="Comic Sans MS" w:hAnsi="Comic Sans MS" w:cstheme="minorHAnsi"/>
                <w:sz w:val="22"/>
                <w:szCs w:val="22"/>
              </w:rPr>
              <w:t>Old testament</w:t>
            </w:r>
            <w:proofErr w:type="gramEnd"/>
            <w:r w:rsidR="00357E37">
              <w:rPr>
                <w:rFonts w:ascii="Comic Sans MS" w:hAnsi="Comic Sans MS" w:cstheme="minorHAnsi"/>
                <w:sz w:val="22"/>
                <w:szCs w:val="22"/>
              </w:rPr>
              <w:t xml:space="preserve"> describes 12 people Jesus ch</w:t>
            </w:r>
            <w:r w:rsidRPr="00357E37" w:rsidR="00357E37">
              <w:rPr>
                <w:rFonts w:ascii="Comic Sans MS" w:hAnsi="Comic Sans MS" w:cstheme="minorHAnsi"/>
                <w:sz w:val="22"/>
                <w:szCs w:val="22"/>
              </w:rPr>
              <w:t>ose.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0197634" w:rsidRDefault="00357E37" w14:paraId="34F7EBBA" w14:textId="3F23D1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Jesus chose 12 disciples. To know the story Matthew the tax collector. Matthew </w:t>
            </w:r>
            <w:r w:rsidR="00066B66">
              <w:rPr>
                <w:rFonts w:ascii="Comic Sans MS" w:hAnsi="Comic Sans MS" w:cstheme="minorHAnsi"/>
                <w:sz w:val="22"/>
                <w:szCs w:val="22"/>
              </w:rPr>
              <w:t>becomes one</w:t>
            </w:r>
            <w:r>
              <w:rPr>
                <w:rFonts w:ascii="Comic Sans MS" w:hAnsi="Comic Sans MS" w:cstheme="minorHAnsi"/>
                <w:sz w:val="22"/>
                <w:szCs w:val="22"/>
              </w:rPr>
              <w:t xml:space="preserve"> of Jesus’ 12 disciples. These are part of the Gospel (good news)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E10922" w14:paraId="261AFB57" w14:textId="3AFE323C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Reflective and i</w:t>
            </w:r>
            <w:r w:rsidR="00EE17B5">
              <w:rPr>
                <w:rFonts w:ascii="Comic Sans MS" w:hAnsi="Comic Sans MS" w:cstheme="minorHAnsi"/>
              </w:rPr>
              <w:t>nvestigative skills</w:t>
            </w:r>
          </w:p>
        </w:tc>
      </w:tr>
      <w:tr w:rsidRPr="009C57E3" w:rsidR="00856CEA" w:rsidTr="3044A73B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856CEA" w:rsidRDefault="00357E37" w14:paraId="73BC86DD" w14:textId="52DDA2E6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lastRenderedPageBreak/>
              <w:t>To understand God shows forgiveness to people (this is good news). To reflect how they have experienced forgiveness.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0856CEA" w:rsidRDefault="00357E37" w14:paraId="228EBA6F" w14:textId="3587BAE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God forgives people but they must forgive others too. Know how they have experienced forgiveness in their own lives.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7F65E3" w14:paraId="5892E866" w14:textId="720A7168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Investigative and reflective </w:t>
            </w:r>
            <w:r w:rsidR="00EE17B5">
              <w:rPr>
                <w:rFonts w:ascii="Comic Sans MS" w:hAnsi="Comic Sans MS" w:cstheme="minorHAnsi"/>
              </w:rPr>
              <w:t>skills</w:t>
            </w:r>
          </w:p>
        </w:tc>
      </w:tr>
      <w:tr w:rsidRPr="009C57E3" w:rsidR="00856CEA" w:rsidTr="3044A73B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00856CEA" w:rsidRDefault="00357E37" w14:paraId="1FD242E5" w14:textId="35673AB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reflect on </w:t>
            </w:r>
            <w:r w:rsidR="007F65E3">
              <w:rPr>
                <w:rFonts w:ascii="Comic Sans MS" w:hAnsi="Comic Sans MS" w:cstheme="minorHAnsi"/>
                <w:sz w:val="22"/>
                <w:szCs w:val="18"/>
              </w:rPr>
              <w:t>how Jesus promises peace to his followers. Understand peace can be spoilt (worry, fear etc) and how we can get peace (music, hugs, forgiveness, sorry etc).</w:t>
            </w:r>
          </w:p>
          <w:p w:rsidRPr="00D35374" w:rsidR="007F65E3" w:rsidP="007F65E3" w:rsidRDefault="007F65E3" w14:paraId="27826EF6" w14:textId="1DC7DA36">
            <w:pPr>
              <w:pStyle w:val="ListParagraph"/>
              <w:ind w:left="360"/>
              <w:rPr>
                <w:rFonts w:ascii="Comic Sans MS" w:hAnsi="Comic Sans MS" w:cstheme="minorHAnsi"/>
                <w:sz w:val="22"/>
                <w:szCs w:val="18"/>
              </w:rPr>
            </w:pP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0C22C8F" w:rsidRDefault="007F65E3" w14:paraId="51E78D5C" w14:textId="4697E68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Know how peace can be restored when things go wrong.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181433" w:rsidR="00856CEA" w:rsidP="00197634" w:rsidRDefault="007F65E3" w14:paraId="3B26F2E4" w14:textId="3C62650B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</w:t>
            </w:r>
            <w:r w:rsidR="00EE17B5">
              <w:rPr>
                <w:rFonts w:ascii="Comic Sans MS" w:hAnsi="Comic Sans MS" w:cstheme="minorHAnsi"/>
                <w:sz w:val="20"/>
                <w:szCs w:val="20"/>
              </w:rPr>
              <w:t>nterpreti</w:t>
            </w:r>
            <w:r>
              <w:rPr>
                <w:rFonts w:ascii="Comic Sans MS" w:hAnsi="Comic Sans MS" w:cstheme="minorHAnsi"/>
                <w:sz w:val="20"/>
                <w:szCs w:val="20"/>
              </w:rPr>
              <w:t>ve and reflective s</w:t>
            </w:r>
            <w:r w:rsidR="00EE17B5">
              <w:rPr>
                <w:rFonts w:ascii="Comic Sans MS" w:hAnsi="Comic Sans MS" w:cstheme="minorHAnsi"/>
                <w:sz w:val="20"/>
                <w:szCs w:val="20"/>
              </w:rPr>
              <w:t>kills</w:t>
            </w:r>
          </w:p>
        </w:tc>
      </w:tr>
      <w:tr w:rsidRPr="009C57E3" w:rsidR="00856CEA" w:rsidTr="3044A73B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7F65E3" w14:paraId="5CF0D4A8" w14:textId="4B16802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know how Christians say sorry through prayer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00C22C8F" w:rsidRDefault="007F65E3" w14:paraId="1E1B1B0F" w14:textId="3785A181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know prayers can help a Christian ask for forgiveness and how it makes a difference to them.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C22C8F" w:rsidP="00856CEA" w:rsidRDefault="007F65E3" w14:paraId="10E9C2C1" w14:textId="42F22EE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Empathising </w:t>
            </w:r>
            <w:r w:rsidR="00EE17B5">
              <w:rPr>
                <w:rFonts w:ascii="Comic Sans MS" w:hAnsi="Comic Sans MS" w:cstheme="minorHAnsi"/>
                <w:sz w:val="22"/>
                <w:szCs w:val="22"/>
              </w:rPr>
              <w:t>skills</w:t>
            </w:r>
          </w:p>
        </w:tc>
      </w:tr>
      <w:tr w:rsidRPr="009C57E3" w:rsidR="00856CEA" w:rsidTr="3044A73B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066B66" w14:paraId="1F105660" w14:textId="790708D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investigate how church buildings can help Christians remember ways in which Jesus’ life and teachings offer ‘good news</w:t>
            </w:r>
            <w:proofErr w:type="gramStart"/>
            <w:r>
              <w:rPr>
                <w:rFonts w:ascii="Comic Sans MS" w:hAnsi="Comic Sans MS" w:cstheme="minorHAnsi"/>
                <w:sz w:val="22"/>
                <w:szCs w:val="18"/>
              </w:rPr>
              <w:t>’ .</w:t>
            </w:r>
            <w:proofErr w:type="gramEnd"/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0C22C8F" w:rsidRDefault="00066B66" w14:paraId="1A9A436D" w14:textId="48BC4A20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>Know that church buildings offer Christians the chance to pray, find friendship and feel peace (candles etc</w:t>
            </w:r>
            <w:proofErr w:type="gramStart"/>
            <w:r>
              <w:rPr>
                <w:rFonts w:ascii="Comic Sans MS" w:hAnsi="Comic Sans MS" w:cstheme="minorHAnsi"/>
                <w:sz w:val="22"/>
              </w:rPr>
              <w:t>) .</w:t>
            </w:r>
            <w:proofErr w:type="gramEnd"/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C22C8F" w:rsidP="007F76F6" w:rsidRDefault="00066B66" w14:paraId="077EEAF7" w14:textId="757BF0CF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Empathising and reflective skills</w:t>
            </w:r>
          </w:p>
        </w:tc>
      </w:tr>
      <w:tr w:rsidRPr="009C57E3" w:rsidR="00856CEA" w:rsidTr="3044A73B" w14:paraId="56E6303D" w14:textId="77777777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tcMar/>
            <w:vAlign w:val="center"/>
          </w:tcPr>
          <w:p w:rsidRPr="00181433" w:rsidR="00856CEA" w:rsidP="00856CEA" w:rsidRDefault="00856CEA" w14:paraId="4968DCAA" w14:textId="125B4AF3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Pr="009C57E3" w:rsidR="00856CEA" w:rsidTr="3044A73B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00F17B69" w:rsidRDefault="00F17B69" w14:paraId="6EFD957D" w14:textId="77777777">
            <w:pPr>
              <w:rPr>
                <w:rFonts w:ascii="Verdana" w:hAnsi="Verdana" w:cstheme="minorHAnsi"/>
                <w:b/>
              </w:rPr>
            </w:pPr>
          </w:p>
          <w:p w:rsidRPr="009C57E3" w:rsidR="00856CEA" w:rsidP="00F17B69" w:rsidRDefault="00F17B69" w14:paraId="57D5683B" w14:textId="5C8CF821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Pr="009C57E3" w:rsidR="00856CEA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tcMar/>
            <w:vAlign w:val="center"/>
          </w:tcPr>
          <w:p w:rsidRPr="00181433" w:rsidR="00856CEA" w:rsidP="00856CEA" w:rsidRDefault="00856CEA" w14:paraId="310C71A2" w14:textId="1ADE8EC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tcMar/>
            <w:vAlign w:val="center"/>
          </w:tcPr>
          <w:p w:rsidRPr="00181433" w:rsidR="00856CEA" w:rsidP="00856CEA" w:rsidRDefault="00856CEA" w14:paraId="4570114B" w14:textId="184EB1C9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Links across the History curriculum</w:t>
            </w:r>
          </w:p>
        </w:tc>
      </w:tr>
      <w:tr w:rsidRPr="009C57E3" w:rsidR="00856CEA" w:rsidTr="3044A73B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017847" w14:paraId="76745548" w14:textId="08A19DE1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sense of belief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856CEA" w:rsidRDefault="00017847" w14:paraId="67F8AB5B" w14:textId="1D2C0F9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</w:t>
            </w:r>
            <w:r w:rsidR="00066B66">
              <w:rPr>
                <w:rFonts w:ascii="Comic Sans MS" w:hAnsi="Comic Sans MS" w:cstheme="minorHAnsi"/>
                <w:sz w:val="22"/>
                <w:szCs w:val="18"/>
              </w:rPr>
              <w:t xml:space="preserve"> 1 and 2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Pr="00181433" w:rsidR="00856CEA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49D2BA2B" w14:textId="77777777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343CE3FB" w14:textId="77777777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68DBED2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6986B3FE" w14:textId="48FE3A63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6FB40976" w14:textId="77777777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4C168902" w14:textId="4163C376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1793008C" w14:textId="03D30E6D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034C601C" w14:textId="758FD8E5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240FD649" w14:textId="061263B1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210C34F1" w14:textId="0BFF5A5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6C57CD27" w14:textId="01751C4D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0F220B2B" w14:textId="32DA31D9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28131E1B" w14:textId="77777777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6428423F" w14:textId="45C61D2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778267DD" w14:textId="7EAD322F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:rsidRPr="00181433" w:rsidR="00856CEA" w:rsidP="00856CEA" w:rsidRDefault="00856CEA" w14:paraId="49579FD9" w14:textId="77777777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Pr="009C57E3" w:rsidR="00856CEA" w:rsidTr="3044A73B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017847" w14:paraId="1CDBBFA2" w14:textId="38793482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 the impact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856CEA" w:rsidRDefault="00017847" w14:paraId="355377C7" w14:textId="742B0A36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</w:t>
            </w:r>
            <w:r w:rsidR="00066B66">
              <w:rPr>
                <w:rFonts w:ascii="Comic Sans MS" w:hAnsi="Comic Sans MS" w:cstheme="minorHAnsi"/>
                <w:sz w:val="22"/>
                <w:szCs w:val="18"/>
              </w:rPr>
              <w:t xml:space="preserve"> </w:t>
            </w:r>
            <w:r w:rsidR="00D43145">
              <w:rPr>
                <w:rFonts w:ascii="Comic Sans MS" w:hAnsi="Comic Sans MS" w:cstheme="minorHAnsi"/>
                <w:sz w:val="22"/>
                <w:szCs w:val="18"/>
              </w:rPr>
              <w:t xml:space="preserve"> 2 ,</w:t>
            </w:r>
            <w:r w:rsidR="00066B66">
              <w:rPr>
                <w:rFonts w:ascii="Comic Sans MS" w:hAnsi="Comic Sans MS" w:cstheme="minorHAnsi"/>
                <w:sz w:val="22"/>
                <w:szCs w:val="18"/>
              </w:rPr>
              <w:t>3</w:t>
            </w:r>
            <w:r w:rsidR="00D43145">
              <w:rPr>
                <w:rFonts w:ascii="Comic Sans MS" w:hAnsi="Comic Sans MS" w:cstheme="minorHAnsi"/>
                <w:sz w:val="22"/>
                <w:szCs w:val="18"/>
              </w:rPr>
              <w:t xml:space="preserve"> and 4</w:t>
            </w:r>
          </w:p>
        </w:tc>
        <w:tc>
          <w:tcPr>
            <w:tcW w:w="5073" w:type="dxa"/>
            <w:gridSpan w:val="2"/>
            <w:vMerge/>
            <w:tcMar/>
            <w:vAlign w:val="center"/>
          </w:tcPr>
          <w:p w:rsidRPr="009C57E3" w:rsidR="00856CEA" w:rsidP="00856CEA" w:rsidRDefault="00856CEA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856CEA" w:rsidTr="3044A73B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017847" w14:paraId="6A2E45D1" w14:textId="0B7EBA58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connections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856CEA" w:rsidRDefault="00017847" w14:paraId="0C394589" w14:textId="2F17451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</w:t>
            </w:r>
            <w:r w:rsidR="00066B66">
              <w:rPr>
                <w:rFonts w:ascii="Comic Sans MS" w:hAnsi="Comic Sans MS" w:cstheme="minorHAnsi"/>
                <w:sz w:val="22"/>
                <w:szCs w:val="18"/>
              </w:rPr>
              <w:t xml:space="preserve"> 4 and 5</w:t>
            </w:r>
          </w:p>
        </w:tc>
        <w:tc>
          <w:tcPr>
            <w:tcW w:w="5073" w:type="dxa"/>
            <w:gridSpan w:val="2"/>
            <w:vMerge/>
            <w:tcMar/>
            <w:vAlign w:val="center"/>
          </w:tcPr>
          <w:p w:rsidRPr="009C57E3" w:rsidR="00856CEA" w:rsidP="00856CEA" w:rsidRDefault="00856CEA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856CEA" w:rsidTr="3044A73B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856CEA" w14:paraId="12313328" w14:textId="047BA8F7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F17B69" w:rsidRDefault="00856CEA" w14:paraId="61190975" w14:textId="558FB0B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5073" w:type="dxa"/>
            <w:gridSpan w:val="2"/>
            <w:vMerge/>
            <w:tcMar/>
            <w:vAlign w:val="center"/>
          </w:tcPr>
          <w:p w:rsidRPr="009C57E3" w:rsidR="00856CEA" w:rsidP="00856CEA" w:rsidRDefault="00856CEA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1B077F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77F" w:rsidP="006312C2" w:rsidRDefault="001B077F" w14:paraId="149281C4" w14:textId="77777777">
      <w:r>
        <w:separator/>
      </w:r>
    </w:p>
  </w:endnote>
  <w:endnote w:type="continuationSeparator" w:id="0">
    <w:p w:rsidR="001B077F" w:rsidP="006312C2" w:rsidRDefault="001B077F" w14:paraId="4AC99091" w14:textId="77777777">
      <w:r>
        <w:continuationSeparator/>
      </w:r>
    </w:p>
  </w:endnote>
  <w:endnote w:type="continuationNotice" w:id="1">
    <w:p w:rsidR="001B077F" w:rsidRDefault="001B077F" w14:paraId="122317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77F" w:rsidP="006312C2" w:rsidRDefault="001B077F" w14:paraId="36CCCACC" w14:textId="77777777">
      <w:r>
        <w:separator/>
      </w:r>
    </w:p>
  </w:footnote>
  <w:footnote w:type="continuationSeparator" w:id="0">
    <w:p w:rsidR="001B077F" w:rsidP="006312C2" w:rsidRDefault="001B077F" w14:paraId="58B7811B" w14:textId="77777777">
      <w:r>
        <w:continuationSeparator/>
      </w:r>
    </w:p>
  </w:footnote>
  <w:footnote w:type="continuationNotice" w:id="1">
    <w:p w:rsidR="001B077F" w:rsidRDefault="001B077F" w14:paraId="5416A64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66B66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57E37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360A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7F65E3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3145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0922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288958DF"/>
    <w:rsid w:val="3044A73B"/>
    <w:rsid w:val="58C803E6"/>
    <w:rsid w:val="59451502"/>
    <w:rsid w:val="67A7E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5</revision>
  <lastPrinted>2023-11-13T09:53:00.0000000Z</lastPrinted>
  <dcterms:created xsi:type="dcterms:W3CDTF">2024-01-29T15:56:00.0000000Z</dcterms:created>
  <dcterms:modified xsi:type="dcterms:W3CDTF">2024-04-25T11:16:41.5557034Z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